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412" w:rsidRPr="00DA3412" w:rsidRDefault="00DA3412" w:rsidP="00DA3412">
      <w:pPr>
        <w:spacing w:line="240" w:lineRule="exact"/>
        <w:ind w:left="5812"/>
        <w:jc w:val="center"/>
      </w:pPr>
      <w:r w:rsidRPr="00DA3412">
        <w:t>Приложение</w:t>
      </w:r>
    </w:p>
    <w:p w:rsidR="00DA3412" w:rsidRPr="00DA3412" w:rsidRDefault="00DA3412" w:rsidP="00DA3412">
      <w:pPr>
        <w:spacing w:line="240" w:lineRule="exact"/>
        <w:ind w:left="5812"/>
        <w:jc w:val="center"/>
      </w:pPr>
      <w:r w:rsidRPr="00DA3412">
        <w:t>УТВЕРЖДЕНО</w:t>
      </w:r>
    </w:p>
    <w:p w:rsidR="00DA3412" w:rsidRPr="00DA3412" w:rsidRDefault="00DA3412" w:rsidP="00DA3412">
      <w:pPr>
        <w:tabs>
          <w:tab w:val="left" w:pos="6966"/>
        </w:tabs>
        <w:spacing w:line="240" w:lineRule="exact"/>
        <w:ind w:left="5812"/>
        <w:jc w:val="center"/>
      </w:pPr>
      <w:r w:rsidRPr="00DA3412">
        <w:t>распоряжением Администрации</w:t>
      </w:r>
    </w:p>
    <w:p w:rsidR="00DA3412" w:rsidRPr="00DA3412" w:rsidRDefault="00DA3412" w:rsidP="00DA3412">
      <w:pPr>
        <w:tabs>
          <w:tab w:val="left" w:pos="6966"/>
        </w:tabs>
        <w:spacing w:line="240" w:lineRule="exact"/>
        <w:ind w:left="5812"/>
        <w:jc w:val="center"/>
      </w:pPr>
      <w:r w:rsidRPr="00DA3412">
        <w:t>муниципального образования</w:t>
      </w:r>
    </w:p>
    <w:p w:rsidR="00DA3412" w:rsidRPr="00DA3412" w:rsidRDefault="00DA3412" w:rsidP="00DA3412">
      <w:pPr>
        <w:tabs>
          <w:tab w:val="left" w:pos="6966"/>
        </w:tabs>
        <w:spacing w:line="240" w:lineRule="exact"/>
        <w:ind w:left="5812"/>
        <w:jc w:val="center"/>
      </w:pPr>
      <w:r w:rsidRPr="00DA3412">
        <w:t>"Город Архангельск"</w:t>
      </w:r>
    </w:p>
    <w:p w:rsidR="00DA3412" w:rsidRPr="00DA3412" w:rsidRDefault="00DA3412" w:rsidP="00DA3412">
      <w:pPr>
        <w:tabs>
          <w:tab w:val="left" w:pos="6966"/>
        </w:tabs>
        <w:spacing w:line="240" w:lineRule="exact"/>
        <w:ind w:left="5812"/>
        <w:jc w:val="center"/>
      </w:pPr>
      <w:r>
        <w:t xml:space="preserve">      </w:t>
      </w:r>
      <w:r w:rsidR="004D52D7">
        <w:t xml:space="preserve">     от 24.04.</w:t>
      </w:r>
      <w:r w:rsidRPr="00DA3412">
        <w:t xml:space="preserve">2020 № </w:t>
      </w:r>
      <w:r w:rsidR="004D52D7">
        <w:t>1438р</w:t>
      </w:r>
      <w:r>
        <w:t>_______</w:t>
      </w:r>
    </w:p>
    <w:p w:rsidR="00DA3412" w:rsidRPr="00DA3412" w:rsidRDefault="00DA3412" w:rsidP="00DA3412">
      <w:pPr>
        <w:jc w:val="center"/>
        <w:rPr>
          <w:sz w:val="28"/>
        </w:rPr>
      </w:pPr>
      <w:r w:rsidRPr="00DA3412">
        <w:rPr>
          <w:sz w:val="28"/>
        </w:rPr>
        <w:t>ИЗВЕЩЕНИЕ</w:t>
      </w:r>
    </w:p>
    <w:p w:rsidR="00D82147" w:rsidRPr="00DA3412" w:rsidRDefault="00DA3412" w:rsidP="00DA3412">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Pr="003A0A17" w:rsidRDefault="00D82147" w:rsidP="0039620D">
            <w:pPr>
              <w:tabs>
                <w:tab w:val="left" w:pos="0"/>
              </w:tabs>
              <w:jc w:val="both"/>
            </w:pPr>
            <w:r w:rsidRPr="003A0A17">
              <w:t>Предмет аукцио</w:t>
            </w:r>
            <w:r w:rsidR="00DA3412">
              <w:t>на: право на заключение договоров аренды земельных участков,</w:t>
            </w:r>
            <w:r w:rsidR="00227325">
              <w:t xml:space="preserve"> государс</w:t>
            </w:r>
            <w:r w:rsidR="00DA3412">
              <w:t>твенная собственность на которые</w:t>
            </w:r>
            <w:r w:rsidR="00227325">
              <w:t xml:space="preserve"> не разграничена</w:t>
            </w:r>
            <w:r w:rsidR="00D51397">
              <w:t xml:space="preserve"> </w:t>
            </w:r>
            <w:r w:rsidR="00D51397" w:rsidRPr="00D51397">
              <w:t>(категория земель – земли населенных пунктов)</w:t>
            </w:r>
            <w:r w:rsidR="00D51397">
              <w:t xml:space="preserve">, </w:t>
            </w:r>
            <w:r w:rsidR="00D51397" w:rsidRPr="00D51397">
              <w:t>для размещения сооружений, предназначен</w:t>
            </w:r>
            <w:r w:rsidR="00D51397">
              <w:t>ных для обслуживания пассажиров</w:t>
            </w:r>
            <w:r w:rsidRPr="003A0A17">
              <w:t>:</w:t>
            </w:r>
          </w:p>
          <w:p w:rsidR="00145457" w:rsidRPr="00DA3412" w:rsidRDefault="00DA3412" w:rsidP="0039620D">
            <w:pPr>
              <w:tabs>
                <w:tab w:val="left" w:pos="0"/>
              </w:tabs>
              <w:jc w:val="both"/>
              <w:rPr>
                <w:b/>
              </w:rPr>
            </w:pPr>
            <w:r w:rsidRPr="00DA3412">
              <w:rPr>
                <w:b/>
              </w:rPr>
              <w:t>Лот № 1: Земельный участок</w:t>
            </w:r>
            <w:r w:rsidR="00D82147" w:rsidRPr="00DA3412">
              <w:rPr>
                <w:b/>
              </w:rPr>
              <w:t xml:space="preserve"> площадью </w:t>
            </w:r>
            <w:r w:rsidR="007A4865" w:rsidRPr="00DA3412">
              <w:rPr>
                <w:b/>
              </w:rPr>
              <w:t>15 кв.м</w:t>
            </w:r>
            <w:r w:rsidRPr="00DA3412">
              <w:rPr>
                <w:b/>
              </w:rPr>
              <w:t>,</w:t>
            </w:r>
            <w:r w:rsidR="00D82147" w:rsidRPr="00DA3412">
              <w:rPr>
                <w:b/>
              </w:rPr>
              <w:t xml:space="preserve"> кадастровый номер 29:22:</w:t>
            </w:r>
            <w:r w:rsidR="007A4865" w:rsidRPr="00DA3412">
              <w:rPr>
                <w:b/>
              </w:rPr>
              <w:t>050518:1296</w:t>
            </w:r>
            <w:r w:rsidR="00D82147" w:rsidRPr="00DA3412">
              <w:rPr>
                <w:b/>
              </w:rPr>
              <w:t xml:space="preserve">,  адрес (местонахождение) объекта: Архангельская область, </w:t>
            </w:r>
            <w:r w:rsidRPr="00DA3412">
              <w:rPr>
                <w:b/>
              </w:rPr>
              <w:t xml:space="preserve">             </w:t>
            </w:r>
            <w:r w:rsidR="00D82147" w:rsidRPr="00DA3412">
              <w:rPr>
                <w:b/>
              </w:rPr>
              <w:t xml:space="preserve">г. Архангельск, </w:t>
            </w:r>
            <w:r w:rsidR="007A4865" w:rsidRPr="00DA3412">
              <w:rPr>
                <w:b/>
              </w:rPr>
              <w:t>Ломоносовский</w:t>
            </w:r>
            <w:r w:rsidR="008322BB" w:rsidRPr="00DA3412">
              <w:rPr>
                <w:b/>
              </w:rPr>
              <w:t xml:space="preserve"> </w:t>
            </w:r>
            <w:r w:rsidR="00D82147" w:rsidRPr="00DA3412">
              <w:rPr>
                <w:b/>
              </w:rPr>
              <w:t xml:space="preserve">территориальный округ, </w:t>
            </w:r>
            <w:r w:rsidR="007A4865" w:rsidRPr="00DA3412">
              <w:rPr>
                <w:b/>
              </w:rPr>
              <w:t>наб</w:t>
            </w:r>
            <w:r w:rsidR="00150F70" w:rsidRPr="00DA3412">
              <w:rPr>
                <w:b/>
              </w:rPr>
              <w:t xml:space="preserve">. </w:t>
            </w:r>
            <w:r w:rsidR="007A4865" w:rsidRPr="00DA3412">
              <w:rPr>
                <w:b/>
              </w:rPr>
              <w:t>Северной Двины</w:t>
            </w:r>
            <w:r w:rsidR="00D57844" w:rsidRPr="00DA3412">
              <w:rPr>
                <w:b/>
              </w:rPr>
              <w:t xml:space="preserve">, участок </w:t>
            </w:r>
            <w:r w:rsidR="007A4865" w:rsidRPr="00DA3412">
              <w:rPr>
                <w:b/>
              </w:rPr>
              <w:t>29</w:t>
            </w:r>
            <w:r w:rsidR="00D57844" w:rsidRPr="00DA3412">
              <w:rPr>
                <w:b/>
              </w:rPr>
              <w:t>/1</w:t>
            </w:r>
            <w:r w:rsidR="005B074A" w:rsidRPr="00DA3412">
              <w:rPr>
                <w:b/>
              </w:rPr>
              <w:t>.</w:t>
            </w:r>
          </w:p>
          <w:p w:rsidR="00D82147" w:rsidRPr="003A0A17" w:rsidRDefault="00D82147" w:rsidP="0039620D">
            <w:pPr>
              <w:tabs>
                <w:tab w:val="left" w:pos="0"/>
              </w:tabs>
              <w:jc w:val="both"/>
            </w:pPr>
            <w:r w:rsidRPr="003A0A17">
              <w:t>Ограничения, обременения – отсутствуют.</w:t>
            </w:r>
          </w:p>
          <w:p w:rsidR="00D82147" w:rsidRDefault="00D82147" w:rsidP="00EB520C">
            <w:pPr>
              <w:autoSpaceDE w:val="0"/>
              <w:autoSpaceDN w:val="0"/>
              <w:adjustRightInd w:val="0"/>
              <w:jc w:val="both"/>
            </w:pPr>
            <w:r w:rsidRPr="003A0A17">
              <w:t xml:space="preserve">Срок аренды – на </w:t>
            </w:r>
            <w:r w:rsidR="00561D05">
              <w:t>20</w:t>
            </w:r>
            <w:r w:rsidRPr="003A0A17">
              <w:t xml:space="preserve"> лет с момента подписания договора аренды. </w:t>
            </w:r>
          </w:p>
          <w:p w:rsidR="007A4865" w:rsidRDefault="007A4865" w:rsidP="007A4865">
            <w:pPr>
              <w:jc w:val="both"/>
              <w:rPr>
                <w:szCs w:val="20"/>
              </w:rPr>
            </w:pPr>
            <w:r>
              <w:t>Дополнительные условия договора</w:t>
            </w:r>
            <w:r w:rsidR="00DA3412">
              <w:t xml:space="preserve"> </w:t>
            </w:r>
            <w:r>
              <w:t>- отсутствуют.</w:t>
            </w:r>
          </w:p>
          <w:p w:rsidR="007A4865" w:rsidRPr="00AB7A8D" w:rsidRDefault="007A4865" w:rsidP="00DA3412">
            <w:pPr>
              <w:widowControl w:val="0"/>
              <w:autoSpaceDE w:val="0"/>
              <w:autoSpaceDN w:val="0"/>
              <w:adjustRightInd w:val="0"/>
              <w:jc w:val="both"/>
            </w:pPr>
            <w:r w:rsidRPr="00037575">
              <w:t xml:space="preserve">Параметры разрешенного строительства: </w:t>
            </w:r>
            <w:r>
              <w:t xml:space="preserve"> не требуется.</w:t>
            </w:r>
          </w:p>
          <w:p w:rsidR="00AE56DD" w:rsidRDefault="007A4865" w:rsidP="00DA3412">
            <w:pPr>
              <w:widowControl w:val="0"/>
              <w:autoSpaceDE w:val="0"/>
              <w:autoSpaceDN w:val="0"/>
              <w:adjustRightInd w:val="0"/>
              <w:jc w:val="both"/>
            </w:pPr>
            <w:r w:rsidRPr="00037575">
              <w:t xml:space="preserve">Технические условия: </w:t>
            </w:r>
            <w:r>
              <w:t>не требуется</w:t>
            </w:r>
            <w:r w:rsidR="00DA3412">
              <w:t>.</w:t>
            </w:r>
          </w:p>
          <w:p w:rsidR="00DA3412" w:rsidRPr="005F33CF" w:rsidRDefault="00DA3412" w:rsidP="00DA3412">
            <w:pPr>
              <w:jc w:val="both"/>
            </w:pPr>
            <w:r w:rsidRPr="005F33CF">
              <w:t>Начальный размер годовой арендной платы:</w:t>
            </w:r>
          </w:p>
          <w:p w:rsidR="00DA3412" w:rsidRPr="005F33CF" w:rsidRDefault="00DA3412" w:rsidP="00DA3412">
            <w:pPr>
              <w:jc w:val="both"/>
            </w:pPr>
            <w:r>
              <w:t>12 000,00</w:t>
            </w:r>
            <w:r w:rsidRPr="005F33CF">
              <w:t xml:space="preserve"> </w:t>
            </w:r>
            <w:r>
              <w:t>(Шесть тысяч)</w:t>
            </w:r>
            <w:r w:rsidRPr="005F33CF">
              <w:t xml:space="preserve"> рубл</w:t>
            </w:r>
            <w:r>
              <w:t>ей</w:t>
            </w:r>
            <w:r w:rsidRPr="005F33CF">
              <w:t xml:space="preserve"> 00 коп. </w:t>
            </w:r>
          </w:p>
          <w:p w:rsidR="00DA3412" w:rsidRPr="00200358" w:rsidRDefault="00DA3412" w:rsidP="00DA3412">
            <w:pPr>
              <w:jc w:val="both"/>
            </w:pPr>
            <w:r>
              <w:t>Сумма</w:t>
            </w:r>
            <w:r w:rsidRPr="005F33CF">
              <w:t xml:space="preserve"> </w:t>
            </w:r>
            <w:r w:rsidRPr="00200358">
              <w:t>задатка на участие в аукционе:</w:t>
            </w:r>
          </w:p>
          <w:p w:rsidR="00DA3412" w:rsidRPr="005F33CF" w:rsidRDefault="00DA3412" w:rsidP="00DA3412">
            <w:pPr>
              <w:jc w:val="both"/>
            </w:pPr>
            <w:r>
              <w:t>2 400</w:t>
            </w:r>
            <w:r w:rsidRPr="00200358">
              <w:t>,00 (</w:t>
            </w:r>
            <w:r>
              <w:t>Две тысячи четыреста</w:t>
            </w:r>
            <w:r w:rsidRPr="00200358">
              <w:t>) рублей</w:t>
            </w:r>
            <w:r w:rsidRPr="005F33CF">
              <w:t xml:space="preserve"> </w:t>
            </w:r>
            <w:r>
              <w:t>0</w:t>
            </w:r>
            <w:r w:rsidRPr="005F33CF">
              <w:t>0 коп. (20%)</w:t>
            </w:r>
          </w:p>
          <w:p w:rsidR="00DA3412" w:rsidRPr="005F33CF" w:rsidRDefault="00DA3412" w:rsidP="00DA3412">
            <w:pPr>
              <w:jc w:val="both"/>
            </w:pPr>
            <w:r w:rsidRPr="00EA036A">
              <w:t>"</w:t>
            </w:r>
            <w:r w:rsidRPr="005F33CF">
              <w:t>Шаг аукциона</w:t>
            </w:r>
            <w:r w:rsidRPr="00EA036A">
              <w:t>"</w:t>
            </w:r>
            <w:r w:rsidRPr="005F33CF">
              <w:t>:</w:t>
            </w:r>
            <w:r>
              <w:t xml:space="preserve"> 360,00</w:t>
            </w:r>
            <w:r w:rsidRPr="005F33CF">
              <w:t xml:space="preserve"> (</w:t>
            </w:r>
            <w:r>
              <w:t>Триста шестьдесят</w:t>
            </w:r>
            <w:r w:rsidRPr="005F33CF">
              <w:t>) рубл</w:t>
            </w:r>
            <w:r>
              <w:t>ей</w:t>
            </w:r>
            <w:r w:rsidRPr="005F33CF">
              <w:t xml:space="preserve"> </w:t>
            </w:r>
            <w:r>
              <w:t>0</w:t>
            </w:r>
            <w:r w:rsidRPr="005F33CF">
              <w:t>0 коп. (3%)</w:t>
            </w:r>
          </w:p>
          <w:p w:rsidR="00DA3412" w:rsidRPr="00DA3412" w:rsidRDefault="00DA3412" w:rsidP="00DA3412">
            <w:pPr>
              <w:tabs>
                <w:tab w:val="left" w:pos="0"/>
              </w:tabs>
              <w:jc w:val="both"/>
              <w:rPr>
                <w:b/>
              </w:rPr>
            </w:pPr>
            <w:r w:rsidRPr="00DA3412">
              <w:rPr>
                <w:b/>
              </w:rPr>
              <w:t xml:space="preserve">Лот № 2: Земельный участок  площадью 15 кв.м,  кадастровый номер 29:22:050106:3264,  адрес (местонахождение) объекта: Архангельская область, </w:t>
            </w:r>
            <w:r>
              <w:rPr>
                <w:b/>
              </w:rPr>
              <w:t xml:space="preserve">      </w:t>
            </w:r>
            <w:r w:rsidRPr="00DA3412">
              <w:rPr>
                <w:b/>
              </w:rPr>
              <w:t>г. Архангельск, Ломоносовский территориальный округ, ул. Воскресенская, участок 100/2.</w:t>
            </w:r>
          </w:p>
          <w:p w:rsidR="00DA3412" w:rsidRPr="003A0A17" w:rsidRDefault="00DA3412" w:rsidP="00DA3412">
            <w:pPr>
              <w:tabs>
                <w:tab w:val="left" w:pos="0"/>
              </w:tabs>
              <w:jc w:val="both"/>
            </w:pPr>
            <w:r w:rsidRPr="003A0A17">
              <w:t>Ограничения, обременения – отсутствуют.</w:t>
            </w:r>
          </w:p>
          <w:p w:rsidR="00DA3412" w:rsidRDefault="00DA3412" w:rsidP="00DA3412">
            <w:pPr>
              <w:autoSpaceDE w:val="0"/>
              <w:autoSpaceDN w:val="0"/>
              <w:adjustRightInd w:val="0"/>
              <w:jc w:val="both"/>
            </w:pPr>
            <w:r w:rsidRPr="003A0A17">
              <w:t xml:space="preserve">Срок аренды – на </w:t>
            </w:r>
            <w:r>
              <w:t>20</w:t>
            </w:r>
            <w:r w:rsidRPr="003A0A17">
              <w:t xml:space="preserve"> лет с момента подписания договора аренды. </w:t>
            </w:r>
          </w:p>
          <w:p w:rsidR="00DA3412" w:rsidRDefault="00DA3412" w:rsidP="00DA3412">
            <w:pPr>
              <w:jc w:val="both"/>
              <w:rPr>
                <w:szCs w:val="20"/>
              </w:rPr>
            </w:pPr>
            <w:r>
              <w:t>Дополнительные условия договора - отсутствуют.</w:t>
            </w:r>
          </w:p>
          <w:p w:rsidR="00DA3412" w:rsidRPr="00AB7A8D" w:rsidRDefault="00DA3412" w:rsidP="00DA3412">
            <w:pPr>
              <w:widowControl w:val="0"/>
              <w:autoSpaceDE w:val="0"/>
              <w:autoSpaceDN w:val="0"/>
              <w:adjustRightInd w:val="0"/>
              <w:ind w:firstLine="51"/>
              <w:jc w:val="both"/>
            </w:pPr>
            <w:r w:rsidRPr="00037575">
              <w:t xml:space="preserve">Параметры разрешенного строительства: </w:t>
            </w:r>
            <w:r>
              <w:t xml:space="preserve"> не требуется.</w:t>
            </w:r>
          </w:p>
          <w:p w:rsidR="00DA3412" w:rsidRDefault="00DA3412" w:rsidP="00DA3412">
            <w:pPr>
              <w:widowControl w:val="0"/>
              <w:autoSpaceDE w:val="0"/>
              <w:autoSpaceDN w:val="0"/>
              <w:adjustRightInd w:val="0"/>
              <w:jc w:val="both"/>
            </w:pPr>
            <w:r w:rsidRPr="00037575">
              <w:t xml:space="preserve">Технические условия: </w:t>
            </w:r>
            <w:r>
              <w:t>не требуется.</w:t>
            </w:r>
          </w:p>
          <w:p w:rsidR="00DA3412" w:rsidRDefault="00DA3412" w:rsidP="00DA3412">
            <w:pPr>
              <w:widowControl w:val="0"/>
              <w:autoSpaceDE w:val="0"/>
              <w:autoSpaceDN w:val="0"/>
              <w:adjustRightInd w:val="0"/>
              <w:jc w:val="both"/>
            </w:pPr>
            <w:r>
              <w:t>Начальный размер годовой арендной платы:</w:t>
            </w:r>
          </w:p>
          <w:p w:rsidR="00DA3412" w:rsidRDefault="00DA3412" w:rsidP="00DA3412">
            <w:pPr>
              <w:widowControl w:val="0"/>
              <w:autoSpaceDE w:val="0"/>
              <w:autoSpaceDN w:val="0"/>
              <w:adjustRightInd w:val="0"/>
              <w:jc w:val="both"/>
            </w:pPr>
            <w:r>
              <w:t xml:space="preserve">12 000,00 (Шесть тысяч) рублей 00 коп. </w:t>
            </w:r>
          </w:p>
          <w:p w:rsidR="00DA3412" w:rsidRDefault="00DA3412" w:rsidP="00DA3412">
            <w:pPr>
              <w:widowControl w:val="0"/>
              <w:autoSpaceDE w:val="0"/>
              <w:autoSpaceDN w:val="0"/>
              <w:adjustRightInd w:val="0"/>
              <w:jc w:val="both"/>
            </w:pPr>
            <w:r>
              <w:t>Сумма задатка на участие в аукционе:</w:t>
            </w:r>
          </w:p>
          <w:p w:rsidR="00DA3412" w:rsidRDefault="00DA3412" w:rsidP="00DA3412">
            <w:pPr>
              <w:widowControl w:val="0"/>
              <w:autoSpaceDE w:val="0"/>
              <w:autoSpaceDN w:val="0"/>
              <w:adjustRightInd w:val="0"/>
              <w:jc w:val="both"/>
            </w:pPr>
            <w:r>
              <w:t>2 400,00 (Две тысячи четыреста) рублей 00 коп. (20%)</w:t>
            </w:r>
          </w:p>
          <w:p w:rsidR="00DA3412" w:rsidRDefault="00DA3412" w:rsidP="00DA3412">
            <w:pPr>
              <w:widowControl w:val="0"/>
              <w:autoSpaceDE w:val="0"/>
              <w:autoSpaceDN w:val="0"/>
              <w:adjustRightInd w:val="0"/>
              <w:jc w:val="both"/>
            </w:pPr>
            <w:r>
              <w:t>"Шаг аукциона": 360,00 (Триста шестьдесят) рублей 00 коп. (3%)</w:t>
            </w:r>
          </w:p>
          <w:p w:rsidR="00DA3412" w:rsidRPr="00DA3412" w:rsidRDefault="00DA3412" w:rsidP="00DA3412">
            <w:pPr>
              <w:widowControl w:val="0"/>
              <w:autoSpaceDE w:val="0"/>
              <w:autoSpaceDN w:val="0"/>
              <w:adjustRightInd w:val="0"/>
              <w:jc w:val="both"/>
              <w:rPr>
                <w:b/>
              </w:rPr>
            </w:pPr>
            <w:r w:rsidRPr="00DA3412">
              <w:rPr>
                <w:b/>
              </w:rPr>
              <w:t xml:space="preserve">Лот № 3: Земельный участок  площадью 15 кв.м,  кадастровый номер 29:22:022537:445,  адрес (местонахождение) объекта: Архангельская область, </w:t>
            </w:r>
            <w:r>
              <w:rPr>
                <w:b/>
              </w:rPr>
              <w:t xml:space="preserve">        </w:t>
            </w:r>
            <w:r w:rsidRPr="00DA3412">
              <w:rPr>
                <w:b/>
              </w:rPr>
              <w:t>г. Архангельск, Соломбальский территориальный округ, ул. Советская, участок 25/3.</w:t>
            </w:r>
          </w:p>
          <w:p w:rsidR="00DA3412" w:rsidRDefault="00DA3412" w:rsidP="00DA3412">
            <w:pPr>
              <w:widowControl w:val="0"/>
              <w:autoSpaceDE w:val="0"/>
              <w:autoSpaceDN w:val="0"/>
              <w:adjustRightInd w:val="0"/>
              <w:jc w:val="both"/>
            </w:pPr>
            <w:r>
              <w:t>Ограничения, обременения – отсутствуют.</w:t>
            </w:r>
          </w:p>
          <w:p w:rsidR="00DA3412" w:rsidRDefault="00DA3412" w:rsidP="00DA3412">
            <w:pPr>
              <w:widowControl w:val="0"/>
              <w:autoSpaceDE w:val="0"/>
              <w:autoSpaceDN w:val="0"/>
              <w:adjustRightInd w:val="0"/>
              <w:jc w:val="both"/>
            </w:pPr>
            <w:r>
              <w:t xml:space="preserve">Срок аренды – на 20 лет с момента подписания договора аренды. </w:t>
            </w:r>
          </w:p>
          <w:p w:rsidR="00DA3412" w:rsidRDefault="00DA3412" w:rsidP="00DA3412">
            <w:pPr>
              <w:widowControl w:val="0"/>
              <w:autoSpaceDE w:val="0"/>
              <w:autoSpaceDN w:val="0"/>
              <w:adjustRightInd w:val="0"/>
              <w:jc w:val="both"/>
            </w:pPr>
            <w:r>
              <w:t>Дополнительные условия договора - отсутствуют.</w:t>
            </w:r>
          </w:p>
          <w:p w:rsidR="00DA3412" w:rsidRDefault="00DA3412" w:rsidP="00DA3412">
            <w:pPr>
              <w:widowControl w:val="0"/>
              <w:autoSpaceDE w:val="0"/>
              <w:autoSpaceDN w:val="0"/>
              <w:adjustRightInd w:val="0"/>
              <w:jc w:val="both"/>
            </w:pPr>
            <w:r>
              <w:t>Параметры разрешенного строительства:  не требуется.</w:t>
            </w:r>
          </w:p>
          <w:p w:rsidR="00DA3412" w:rsidRDefault="00DA3412" w:rsidP="00DA3412">
            <w:pPr>
              <w:widowControl w:val="0"/>
              <w:autoSpaceDE w:val="0"/>
              <w:autoSpaceDN w:val="0"/>
              <w:adjustRightInd w:val="0"/>
              <w:jc w:val="both"/>
            </w:pPr>
            <w:r>
              <w:t>Технические условия: не требуется.</w:t>
            </w:r>
          </w:p>
          <w:p w:rsidR="00DA3412" w:rsidRDefault="00DA3412" w:rsidP="00DA3412">
            <w:pPr>
              <w:widowControl w:val="0"/>
              <w:autoSpaceDE w:val="0"/>
              <w:autoSpaceDN w:val="0"/>
              <w:adjustRightInd w:val="0"/>
              <w:jc w:val="both"/>
            </w:pPr>
            <w:r>
              <w:t>Начальный размер годовой арендной платы:</w:t>
            </w:r>
          </w:p>
          <w:p w:rsidR="00DA3412" w:rsidRDefault="00DA3412" w:rsidP="00DA3412">
            <w:pPr>
              <w:widowControl w:val="0"/>
              <w:autoSpaceDE w:val="0"/>
              <w:autoSpaceDN w:val="0"/>
              <w:adjustRightInd w:val="0"/>
              <w:jc w:val="both"/>
            </w:pPr>
            <w:r>
              <w:t xml:space="preserve">12 000,00 (Шесть тысяч) рублей 00 коп. </w:t>
            </w:r>
          </w:p>
          <w:p w:rsidR="00D51397" w:rsidRDefault="00DA3412" w:rsidP="00DA3412">
            <w:pPr>
              <w:widowControl w:val="0"/>
              <w:autoSpaceDE w:val="0"/>
              <w:autoSpaceDN w:val="0"/>
              <w:adjustRightInd w:val="0"/>
              <w:jc w:val="both"/>
            </w:pPr>
            <w:r>
              <w:t>Сумма задатка на участие в аукционе:</w:t>
            </w:r>
            <w:r w:rsidR="00D51397">
              <w:t xml:space="preserve"> </w:t>
            </w:r>
          </w:p>
          <w:p w:rsidR="00D51397" w:rsidRDefault="00DA3412" w:rsidP="00DA3412">
            <w:pPr>
              <w:widowControl w:val="0"/>
              <w:autoSpaceDE w:val="0"/>
              <w:autoSpaceDN w:val="0"/>
              <w:adjustRightInd w:val="0"/>
              <w:jc w:val="both"/>
            </w:pPr>
            <w:r>
              <w:lastRenderedPageBreak/>
              <w:t>2 400,00 (Две тысячи четыреста) рублей 00 коп. (20%)</w:t>
            </w:r>
            <w:r w:rsidR="00D51397">
              <w:t xml:space="preserve">, </w:t>
            </w:r>
          </w:p>
          <w:p w:rsidR="00DA3412" w:rsidRPr="00E52EB3" w:rsidRDefault="00DA3412" w:rsidP="00DA3412">
            <w:pPr>
              <w:widowControl w:val="0"/>
              <w:autoSpaceDE w:val="0"/>
              <w:autoSpaceDN w:val="0"/>
              <w:adjustRightInd w:val="0"/>
              <w:jc w:val="both"/>
            </w:pPr>
            <w:r>
              <w:t>"Шаг аукциона": 360,00 (Триста шестьдесят) рублей 00 коп. (3%).</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BA1737">
              <w:t xml:space="preserve"> </w:t>
            </w:r>
            <w:r w:rsidRPr="00663B20">
              <w:t>от</w:t>
            </w:r>
            <w:r w:rsidR="004D52D7">
              <w:t xml:space="preserve"> 24.04.2020</w:t>
            </w:r>
            <w:r w:rsidRPr="00663B20">
              <w:t xml:space="preserve"> № </w:t>
            </w:r>
            <w:r w:rsidR="004D52D7">
              <w:t>1438р</w:t>
            </w:r>
            <w:r>
              <w:t xml:space="preserve"> </w:t>
            </w:r>
            <w:r w:rsidR="00DA3412">
              <w:t xml:space="preserve">                      </w:t>
            </w:r>
            <w:r>
              <w:t>"</w:t>
            </w:r>
            <w:r w:rsidR="00DA3412" w:rsidRPr="00DA3412">
              <w:t>О проведении аукциона на право заключения договоров аренды земельных участков, государственная собственность на которые не разграничена, для размещения сооружений, предназначенных для обслуживания пассажиров</w:t>
            </w:r>
            <w:r w:rsidR="00DA3412">
              <w:t>"</w:t>
            </w:r>
            <w:r w:rsidR="00BA1737">
              <w:t>.</w:t>
            </w:r>
          </w:p>
          <w:p w:rsidR="00BA1737" w:rsidRDefault="00BA1737" w:rsidP="00BA1737">
            <w:pPr>
              <w:tabs>
                <w:tab w:val="left" w:pos="0"/>
              </w:tabs>
              <w:jc w:val="both"/>
            </w:pPr>
            <w:r w:rsidRPr="00E52EB3">
              <w:t xml:space="preserve">Ознакомление с техническими условиями подключения – по запросу: г. Архангельск, </w:t>
            </w:r>
            <w:r>
              <w:t xml:space="preserve">пл. В.И. Ленина, д. 5, </w:t>
            </w:r>
            <w:proofErr w:type="spellStart"/>
            <w:r>
              <w:t>каб</w:t>
            </w:r>
            <w:proofErr w:type="spellEnd"/>
            <w:r>
              <w:t>. 434</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DA3412" w:rsidP="0039620D">
            <w:pPr>
              <w:jc w:val="both"/>
            </w:pPr>
            <w:r>
              <w:t>4</w:t>
            </w:r>
            <w:r w:rsidR="00D82147"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A3412" w:rsidP="0039620D">
            <w:pPr>
              <w:jc w:val="center"/>
            </w:pPr>
            <w:r>
              <w:t>5</w:t>
            </w:r>
            <w:r w:rsidR="00D82147" w:rsidRPr="00866F21">
              <w:t>.</w:t>
            </w:r>
          </w:p>
        </w:tc>
        <w:tc>
          <w:tcPr>
            <w:tcW w:w="9231" w:type="dxa"/>
          </w:tcPr>
          <w:p w:rsidR="003A5E17" w:rsidRPr="00866F21" w:rsidRDefault="00D82147" w:rsidP="003A5E17">
            <w:pPr>
              <w:jc w:val="both"/>
            </w:pPr>
            <w:r w:rsidRPr="003A5E17">
              <w:t>Реквизиты счета для перечислен</w:t>
            </w:r>
            <w:r w:rsidR="00DA3412">
              <w:t>ия задатка:</w:t>
            </w:r>
            <w:r w:rsidR="003A5E17" w:rsidRPr="00866F21">
              <w:t xml:space="preserve"> расчетный счет Продавца №40302810040303170239, банк получ</w:t>
            </w:r>
            <w:r w:rsidR="003A5E17">
              <w:t xml:space="preserve">ателя: Отделение Архангельск  г. </w:t>
            </w:r>
            <w:r w:rsidR="003A5E17" w:rsidRPr="00866F21">
              <w:t>Архангельск, ИНН 2901078408, КПП 290101001, БИК 041117001.</w:t>
            </w:r>
            <w:r w:rsidR="00DA3412">
              <w:t xml:space="preserve"> </w:t>
            </w:r>
            <w:r w:rsidR="003A5E17" w:rsidRPr="00866F21">
              <w:t>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42038E">
              <w:t xml:space="preserve">         </w:t>
            </w:r>
            <w:r w:rsidR="00A349BD">
              <w:t>21 мая</w:t>
            </w:r>
            <w:r>
              <w:t xml:space="preserve"> 20</w:t>
            </w:r>
            <w:r w:rsidR="007A4865">
              <w:t>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A349BD">
              <w:t>25 мая</w:t>
            </w:r>
            <w:r w:rsidR="0042038E">
              <w:t xml:space="preserve"> 2020</w:t>
            </w:r>
            <w:r>
              <w:t xml:space="preserve"> года, </w:t>
            </w:r>
            <w:r w:rsidR="00DA3412">
              <w:t xml:space="preserve">лот № ___, </w:t>
            </w:r>
            <w:r>
              <w:t xml:space="preserve">земельный участок с кадастровым номером </w:t>
            </w:r>
            <w:r w:rsidR="00DA3412">
              <w:t>_________________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DA3412" w:rsidP="0039620D">
            <w:pPr>
              <w:jc w:val="center"/>
            </w:pPr>
            <w:r>
              <w:t>6</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A3412" w:rsidP="0039620D">
            <w:pPr>
              <w:jc w:val="center"/>
            </w:pPr>
            <w:r>
              <w:t>7</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 xml:space="preserve">кциона условиям аукциона, уполномоченный </w:t>
            </w:r>
            <w:r w:rsidRPr="00866F21">
              <w:lastRenderedPageBreak/>
              <w:t>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A3412" w:rsidP="0039620D">
            <w:pPr>
              <w:jc w:val="both"/>
            </w:pPr>
            <w:r>
              <w:lastRenderedPageBreak/>
              <w:t>8</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A3412" w:rsidP="0039620D">
            <w:pPr>
              <w:jc w:val="both"/>
            </w:pPr>
            <w:r>
              <w:t>9</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134DCB" w:rsidP="0039620D">
            <w:pPr>
              <w:autoSpaceDE w:val="0"/>
              <w:autoSpaceDN w:val="0"/>
              <w:adjustRightInd w:val="0"/>
              <w:jc w:val="both"/>
            </w:pPr>
            <w:r>
              <w:t>6 мая</w:t>
            </w:r>
            <w:r w:rsidR="00DA3412">
              <w:t xml:space="preserve"> 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DA3412">
              <w:t>0</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A349BD" w:rsidP="0039620D">
            <w:pPr>
              <w:jc w:val="both"/>
            </w:pPr>
            <w:r>
              <w:t>21 мая</w:t>
            </w:r>
            <w:r w:rsidR="0042038E">
              <w:t xml:space="preserve">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DA3412">
              <w:t>1</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A3412" w:rsidP="0039620D">
            <w:pPr>
              <w:jc w:val="both"/>
            </w:pPr>
            <w:r>
              <w:t>12</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A349BD" w:rsidP="0039620D">
            <w:pPr>
              <w:jc w:val="both"/>
              <w:rPr>
                <w:sz w:val="23"/>
                <w:szCs w:val="23"/>
              </w:rPr>
            </w:pPr>
            <w:r>
              <w:t>22 мая</w:t>
            </w:r>
            <w:r w:rsidR="0042038E">
              <w:t xml:space="preserve"> 2020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rsidR="00DA3412">
              <w:t>3</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A349BD" w:rsidP="0039620D">
            <w:pPr>
              <w:jc w:val="both"/>
              <w:rPr>
                <w:sz w:val="23"/>
                <w:szCs w:val="23"/>
              </w:rPr>
            </w:pPr>
            <w:r>
              <w:rPr>
                <w:b/>
              </w:rPr>
              <w:t>25 мая</w:t>
            </w:r>
            <w:r w:rsidR="0042038E">
              <w:rPr>
                <w:b/>
              </w:rPr>
              <w:t xml:space="preserve"> 2020 года,</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 xml:space="preserve">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w:t>
            </w:r>
            <w:r w:rsidRPr="00866F21">
              <w:lastRenderedPageBreak/>
              <w:t>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A3412" w:rsidP="0039620D">
            <w:pPr>
              <w:jc w:val="both"/>
            </w:pPr>
            <w:r>
              <w:lastRenderedPageBreak/>
              <w:t>14</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DA3412">
              <w:t>5</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D408F3"/>
    <w:rsid w:val="00037575"/>
    <w:rsid w:val="000C4C75"/>
    <w:rsid w:val="000E514C"/>
    <w:rsid w:val="000E529E"/>
    <w:rsid w:val="0010387C"/>
    <w:rsid w:val="00134DCB"/>
    <w:rsid w:val="00145457"/>
    <w:rsid w:val="00150F70"/>
    <w:rsid w:val="00200358"/>
    <w:rsid w:val="002028A1"/>
    <w:rsid w:val="00227325"/>
    <w:rsid w:val="002F3EE4"/>
    <w:rsid w:val="003A5E17"/>
    <w:rsid w:val="0042038E"/>
    <w:rsid w:val="004C3539"/>
    <w:rsid w:val="004D52D7"/>
    <w:rsid w:val="00515248"/>
    <w:rsid w:val="00561D05"/>
    <w:rsid w:val="005764C4"/>
    <w:rsid w:val="0058125F"/>
    <w:rsid w:val="005B074A"/>
    <w:rsid w:val="006C27B3"/>
    <w:rsid w:val="007079AF"/>
    <w:rsid w:val="007104C5"/>
    <w:rsid w:val="00792513"/>
    <w:rsid w:val="007A4865"/>
    <w:rsid w:val="007E4E56"/>
    <w:rsid w:val="007F2E1A"/>
    <w:rsid w:val="008322BB"/>
    <w:rsid w:val="008E4360"/>
    <w:rsid w:val="009E2E5C"/>
    <w:rsid w:val="00A2730E"/>
    <w:rsid w:val="00A349BD"/>
    <w:rsid w:val="00A6143C"/>
    <w:rsid w:val="00A914B6"/>
    <w:rsid w:val="00AB4467"/>
    <w:rsid w:val="00AB7A8D"/>
    <w:rsid w:val="00AC1A24"/>
    <w:rsid w:val="00AE56DD"/>
    <w:rsid w:val="00AF44B6"/>
    <w:rsid w:val="00B83825"/>
    <w:rsid w:val="00B963B5"/>
    <w:rsid w:val="00BA1737"/>
    <w:rsid w:val="00C10757"/>
    <w:rsid w:val="00C72B47"/>
    <w:rsid w:val="00D408F3"/>
    <w:rsid w:val="00D40CC0"/>
    <w:rsid w:val="00D51397"/>
    <w:rsid w:val="00D57844"/>
    <w:rsid w:val="00D6248C"/>
    <w:rsid w:val="00D6317B"/>
    <w:rsid w:val="00D82147"/>
    <w:rsid w:val="00DA3412"/>
    <w:rsid w:val="00DC1922"/>
    <w:rsid w:val="00E52EB3"/>
    <w:rsid w:val="00E565DF"/>
    <w:rsid w:val="00E95475"/>
    <w:rsid w:val="00EB520C"/>
    <w:rsid w:val="00F07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paragraph" w:styleId="a3">
    <w:name w:val="Balloon Text"/>
    <w:basedOn w:val="a"/>
    <w:link w:val="a4"/>
    <w:uiPriority w:val="99"/>
    <w:semiHidden/>
    <w:unhideWhenUsed/>
    <w:rsid w:val="00A349BD"/>
    <w:rPr>
      <w:rFonts w:ascii="Tahoma" w:hAnsi="Tahoma" w:cs="Tahoma"/>
      <w:sz w:val="16"/>
      <w:szCs w:val="16"/>
    </w:rPr>
  </w:style>
  <w:style w:type="character" w:customStyle="1" w:styleId="a4">
    <w:name w:val="Текст выноски Знак"/>
    <w:basedOn w:val="a0"/>
    <w:link w:val="a3"/>
    <w:uiPriority w:val="99"/>
    <w:semiHidden/>
    <w:rsid w:val="00A349B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276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BD9B-0E29-498F-B53D-82FF03DA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1607</Words>
  <Characters>9164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7</cp:revision>
  <cp:lastPrinted>2020-04-22T06:54:00Z</cp:lastPrinted>
  <dcterms:created xsi:type="dcterms:W3CDTF">2020-03-24T11:38:00Z</dcterms:created>
  <dcterms:modified xsi:type="dcterms:W3CDTF">2020-04-24T07:28:00Z</dcterms:modified>
</cp:coreProperties>
</file>